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565516" w14:textId="5ED27769" w:rsidR="0021274B" w:rsidRPr="0021274B" w:rsidRDefault="0021274B" w:rsidP="0021274B">
      <w:pPr>
        <w:rPr>
          <w:b/>
          <w:sz w:val="28"/>
        </w:rPr>
      </w:pPr>
      <w:r w:rsidRPr="0021274B">
        <w:rPr>
          <w:b/>
          <w:sz w:val="28"/>
        </w:rPr>
        <w:t>Intervention</w:t>
      </w:r>
    </w:p>
    <w:p w14:paraId="413D28DA" w14:textId="19231918" w:rsidR="0021274B" w:rsidRPr="0021274B" w:rsidRDefault="0021274B" w:rsidP="0021274B">
      <w:pPr>
        <w:rPr>
          <w:b/>
        </w:rPr>
      </w:pPr>
      <w:r w:rsidRPr="0021274B">
        <w:rPr>
          <w:rFonts w:hint="eastAsia"/>
          <w:b/>
        </w:rPr>
        <w:t>1</w:t>
      </w:r>
      <w:r w:rsidRPr="0021274B">
        <w:rPr>
          <w:b/>
        </w:rPr>
        <w:t>. Pharmacotherapy (Control Group)</w:t>
      </w:r>
    </w:p>
    <w:p w14:paraId="29488175" w14:textId="36F62850" w:rsidR="0021274B" w:rsidRDefault="0021274B" w:rsidP="008A592F">
      <w:pPr>
        <w:ind w:firstLineChars="200" w:firstLine="480"/>
      </w:pPr>
      <w:r w:rsidRPr="0021274B">
        <w:t>Participants in the control group received monotherapy with a Selective Serotonin Reuptake Inhibitor (SSRI). The specific SSRI was selected and titrated to the target clinical dose within two weeks based on the patient’s clinical response and tolerability (Sertraline 50–200 mg/d; Escitalopram 10–20 mg/d; Citalopram 20–40 mg/d; Fluoxetine 20–60 mg/d; Fluvoxamine 100–300 mg/d; or Paroxetine 20–50 mg/d). When clinically necessary, combined use of antipsychotics, mood stabilizers, or benzodiazepines was permitted. To ensure data validity, participants wh</w:t>
      </w:r>
      <w:r w:rsidR="003E3354">
        <w:rPr>
          <w:rFonts w:hint="eastAsia"/>
        </w:rPr>
        <w:t xml:space="preserve">o </w:t>
      </w:r>
      <w:r w:rsidR="003E3354" w:rsidRPr="003E3354">
        <w:t>maintained a consistent single SSRI regimen for more than 7 days were included in the final follow-up and analysis according to the predefined study protocol.</w:t>
      </w:r>
    </w:p>
    <w:p w14:paraId="125961CC" w14:textId="77777777" w:rsidR="0021274B" w:rsidRDefault="0021274B" w:rsidP="0021274B">
      <w:pPr>
        <w:rPr>
          <w:b/>
        </w:rPr>
      </w:pPr>
    </w:p>
    <w:p w14:paraId="391EFAA6" w14:textId="77777777" w:rsidR="0021274B" w:rsidRDefault="0021274B" w:rsidP="0021274B">
      <w:pPr>
        <w:rPr>
          <w:b/>
        </w:rPr>
      </w:pPr>
      <w:r>
        <w:rPr>
          <w:b/>
        </w:rPr>
        <w:t>2</w:t>
      </w:r>
      <w:r w:rsidRPr="0021274B">
        <w:rPr>
          <w:b/>
        </w:rPr>
        <w:t>. Combined Treatment (Acupuncture + SSRI Group)</w:t>
      </w:r>
    </w:p>
    <w:p w14:paraId="1F57F8E4" w14:textId="2AFFF9CD" w:rsidR="008A592F" w:rsidRDefault="008A592F" w:rsidP="0021274B">
      <w:pPr>
        <w:ind w:firstLineChars="200" w:firstLine="480"/>
      </w:pPr>
      <w:r w:rsidRPr="008A592F">
        <w:t>The acupuncture treatment in this study was based on the “</w:t>
      </w:r>
      <w:proofErr w:type="spellStart"/>
      <w:r w:rsidRPr="008A592F">
        <w:t>Tongyang</w:t>
      </w:r>
      <w:proofErr w:type="spellEnd"/>
      <w:r w:rsidRPr="008A592F">
        <w:t xml:space="preserve"> </w:t>
      </w:r>
      <w:proofErr w:type="spellStart"/>
      <w:r w:rsidRPr="008A592F">
        <w:t>Xingshen</w:t>
      </w:r>
      <w:proofErr w:type="spellEnd"/>
      <w:r w:rsidRPr="008A592F">
        <w:t xml:space="preserve">” acupuncture protocol developed by Professor </w:t>
      </w:r>
      <w:r w:rsidRPr="008A592F">
        <w:rPr>
          <w:b/>
          <w:bCs/>
        </w:rPr>
        <w:t>Wei Han</w:t>
      </w:r>
      <w:r w:rsidRPr="008A592F">
        <w:t xml:space="preserve"> from the Affiliated Brain Hospital of Guangzhou Medical University. The theoretical principles of this method are detailed in </w:t>
      </w:r>
      <w:r w:rsidRPr="008A592F">
        <w:rPr>
          <w:i/>
          <w:iCs/>
        </w:rPr>
        <w:t>Chinese Acupuncture &amp; Moxibustion</w:t>
      </w:r>
      <w:r w:rsidRPr="008A592F">
        <w:t>, April 2023, Vol. 43, No. 4 (DOI: 10.13703/j.0255-2930.20221129-k0003).</w:t>
      </w:r>
    </w:p>
    <w:p w14:paraId="09000033" w14:textId="77777777" w:rsidR="008A592F" w:rsidRDefault="008A592F" w:rsidP="008A592F">
      <w:pPr>
        <w:ind w:firstLineChars="200" w:firstLine="480"/>
      </w:pPr>
      <w:r w:rsidRPr="008A592F">
        <w:t>The specific acupoint selection and manipulation procedures used in this study were as follows:</w:t>
      </w:r>
    </w:p>
    <w:p w14:paraId="0B2BDEC1" w14:textId="3A647F5F" w:rsidR="008A592F" w:rsidRDefault="008A592F" w:rsidP="008A592F">
      <w:pPr>
        <w:ind w:firstLineChars="200" w:firstLine="480"/>
      </w:pPr>
      <w:r w:rsidRPr="008A592F">
        <w:t>In addition to medication, participants in the acupuncture group received the "</w:t>
      </w:r>
      <w:proofErr w:type="spellStart"/>
      <w:r w:rsidRPr="008A592F">
        <w:t>Tongyang</w:t>
      </w:r>
      <w:proofErr w:type="spellEnd"/>
      <w:r w:rsidRPr="008A592F">
        <w:t xml:space="preserve"> </w:t>
      </w:r>
      <w:proofErr w:type="spellStart"/>
      <w:r w:rsidRPr="008A592F">
        <w:t>Xingshen</w:t>
      </w:r>
      <w:proofErr w:type="spellEnd"/>
      <w:r w:rsidRPr="008A592F">
        <w:t>" acupuncture protocol. Outcome assessments were conducted either on the same day or the day following the completion of the two-week treatment. Acupoint selection followed guidelines in the national TCM education textbook published by the People's Medical Publishing House</w:t>
      </w:r>
      <w:r w:rsidR="009E12C2">
        <w:fldChar w:fldCharType="begin"/>
      </w:r>
      <w:r w:rsidR="001E75BD">
        <w:instrText xml:space="preserve"> ADDIN EN.CITE &lt;EndNote&gt;&lt;Cite&gt;&lt;Author&gt;Jia&lt;/Author&gt;&lt;RecNum&gt;308&lt;/RecNum&gt;&lt;DisplayText&gt;[2, 3]&lt;/DisplayText&gt;&lt;record&gt;&lt;rec-number&gt;308&lt;/rec-number&gt;&lt;foreign-keys&gt;&lt;key app="EN" db-id="50taz0fth202xjet9xkv5ff4vvdfztfre9a5" timestamp="1743477212"&gt;308&lt;/key&gt;&lt;/foreign-keys&gt;&lt;ref-type name="Book"&gt;6&lt;/ref-type&gt;&lt;contributors&gt;&lt;authors&gt;&lt;author&gt;Jia, CH&lt;/author&gt;&lt;/authors&gt;&lt;/contributors&gt;&lt;titles&gt;&lt;title&gt;Traditional Chinese Medicine&lt;/title&gt;&lt;/titles&gt;&lt;pages&gt;196&lt;/pages&gt;&lt;dates&gt;&lt;pub-dates&gt;&lt;date&gt;201701&lt;/date&gt;&lt;/pub-dates&gt;&lt;/dates&gt;&lt;publisher&gt;Beijing: People&amp;apos;s Medical Publishing House&lt;/publisher&gt;&lt;isbn&gt;978-7-117-23782-6&lt;/isbn&gt;&lt;urls&gt;&lt;/urls&gt;&lt;remote-database-provider&gt;Cnki&lt;/remote-database-provider&gt;&lt;language&gt;in Chinese&lt;/language&gt;&lt;/record&gt;&lt;/Cite&gt;&lt;Cite&gt;&lt;Author&gt;Hu&lt;/Author&gt;&lt;Year&gt;2018&lt;/Year&gt;&lt;RecNum&gt;310&lt;/RecNum&gt;&lt;record&gt;&lt;rec-number&gt;310&lt;/rec-number&gt;&lt;foreign-keys&gt;&lt;key app="EN" db-id="50taz0fth202xjet9xkv5ff4vvdfztfre9a5" timestamp="1743477584"&gt;310&lt;/key&gt;&lt;/foreign-keys&gt;&lt;ref-type name="Book"&gt;6&lt;/ref-type&gt;&lt;contributors&gt;&lt;authors&gt;&lt;author&gt;Hu,L.&lt;/author&gt;&lt;author&gt;Liu,QG.&lt;/author&gt;&lt;/authors&gt;&lt;/contributors&gt;&lt;titles&gt;&lt;title&gt;Meridian and Acupoint Theory, 2nd ed&lt;/title&gt;&lt;/titles&gt;&lt;pages&gt;272&lt;/pages&gt;&lt;dates&gt;&lt;year&gt;2018&lt;/year&gt;&lt;/dates&gt;&lt;publisher&gt;Shanghai Science and Technology Press&lt;/publisher&gt;&lt;isbn&gt;978-7-5478-4003-0&lt;/isbn&gt;&lt;urls&gt;&lt;/urls&gt;&lt;language&gt;in Chinese&lt;/language&gt;&lt;/record&gt;&lt;/Cite&gt;&lt;/EndNote&gt;</w:instrText>
      </w:r>
      <w:r w:rsidR="009E12C2">
        <w:fldChar w:fldCharType="separate"/>
      </w:r>
      <w:r w:rsidR="001E75BD">
        <w:rPr>
          <w:noProof/>
        </w:rPr>
        <w:t>[</w:t>
      </w:r>
      <w:r w:rsidR="00B76436">
        <w:rPr>
          <w:noProof/>
        </w:rPr>
        <w:t>1</w:t>
      </w:r>
      <w:r w:rsidR="001E75BD">
        <w:rPr>
          <w:noProof/>
        </w:rPr>
        <w:t xml:space="preserve">, </w:t>
      </w:r>
      <w:r w:rsidR="00B76436">
        <w:rPr>
          <w:noProof/>
        </w:rPr>
        <w:t>2</w:t>
      </w:r>
      <w:r w:rsidR="001E75BD">
        <w:rPr>
          <w:noProof/>
        </w:rPr>
        <w:t>]</w:t>
      </w:r>
      <w:r w:rsidR="009E12C2">
        <w:fldChar w:fldCharType="end"/>
      </w:r>
      <w:r w:rsidR="009E12C2">
        <w:rPr>
          <w:rFonts w:hint="eastAsia"/>
        </w:rPr>
        <w:t>.</w:t>
      </w:r>
    </w:p>
    <w:p w14:paraId="74308D5E" w14:textId="6CF3C5FD" w:rsidR="0021274B" w:rsidRPr="0021274B" w:rsidRDefault="0021274B" w:rsidP="0021274B">
      <w:pPr>
        <w:rPr>
          <w:b/>
          <w:bCs/>
        </w:rPr>
      </w:pPr>
      <w:r>
        <w:rPr>
          <w:b/>
          <w:bCs/>
        </w:rPr>
        <w:t xml:space="preserve">2.1 </w:t>
      </w:r>
      <w:r w:rsidRPr="0021274B">
        <w:rPr>
          <w:b/>
          <w:bCs/>
        </w:rPr>
        <w:t>Acupuncture Apparatus</w:t>
      </w:r>
    </w:p>
    <w:p w14:paraId="4C0CAA26" w14:textId="48EE713A" w:rsidR="0021274B" w:rsidRPr="0021274B" w:rsidRDefault="0021274B" w:rsidP="0021274B">
      <w:pPr>
        <w:ind w:firstLineChars="200" w:firstLine="480"/>
      </w:pPr>
      <w:r w:rsidRPr="0021274B">
        <w:t xml:space="preserve">All acupuncture procedures were performed using sterile, single-use disposable needles of the </w:t>
      </w:r>
      <w:proofErr w:type="spellStart"/>
      <w:r w:rsidRPr="0021274B">
        <w:rPr>
          <w:b/>
          <w:bCs/>
        </w:rPr>
        <w:t>Hwato</w:t>
      </w:r>
      <w:proofErr w:type="spellEnd"/>
      <w:r w:rsidRPr="0021274B">
        <w:rPr>
          <w:b/>
          <w:bCs/>
        </w:rPr>
        <w:t xml:space="preserve"> brand</w:t>
      </w:r>
      <w:r w:rsidRPr="0021274B">
        <w:t xml:space="preserve"> (manufactured by Suzhou Medical Supplies Factory Co., </w:t>
      </w:r>
      <w:r w:rsidRPr="0021274B">
        <w:lastRenderedPageBreak/>
        <w:t>Ltd., Jiangsu, China). Two specific sizes of needles were utilized depending on the anatomical location of the acupoints:</w:t>
      </w:r>
      <w:r>
        <w:t xml:space="preserve"> </w:t>
      </w:r>
      <w:r w:rsidRPr="0021274B">
        <w:t>0.30 mm × 25 mm</w:t>
      </w:r>
      <w:r>
        <w:t xml:space="preserve">, </w:t>
      </w:r>
      <w:r w:rsidRPr="0021274B">
        <w:t>0.30 mm × 40 mm</w:t>
      </w:r>
      <w:r>
        <w:t>.</w:t>
      </w:r>
    </w:p>
    <w:p w14:paraId="1CE84B19" w14:textId="5EFF60E3" w:rsidR="0021274B" w:rsidRPr="0021274B" w:rsidRDefault="0021274B" w:rsidP="0021274B">
      <w:pPr>
        <w:rPr>
          <w:b/>
          <w:bCs/>
        </w:rPr>
      </w:pPr>
      <w:r w:rsidRPr="0021274B">
        <w:rPr>
          <w:b/>
          <w:bCs/>
        </w:rPr>
        <w:t>2.</w:t>
      </w:r>
      <w:r>
        <w:rPr>
          <w:b/>
          <w:bCs/>
        </w:rPr>
        <w:t>2</w:t>
      </w:r>
      <w:r w:rsidRPr="0021274B">
        <w:rPr>
          <w:b/>
          <w:bCs/>
        </w:rPr>
        <w:t xml:space="preserve"> Preparation and Position</w:t>
      </w:r>
    </w:p>
    <w:p w14:paraId="1695C903" w14:textId="77777777" w:rsidR="0021274B" w:rsidRPr="0021274B" w:rsidRDefault="0021274B" w:rsidP="0021274B">
      <w:pPr>
        <w:ind w:firstLineChars="200" w:firstLine="480"/>
      </w:pPr>
      <w:r w:rsidRPr="0021274B">
        <w:t>Prior to the procedure, participants were instructed to empty their bladders. Depending on the targeted acupoints and clinical requirements, participants were placed in either a</w:t>
      </w:r>
      <w:r w:rsidRPr="001E75BD">
        <w:t xml:space="preserve"> </w:t>
      </w:r>
      <w:r w:rsidRPr="001E75BD">
        <w:rPr>
          <w:bCs/>
        </w:rPr>
        <w:t>supine</w:t>
      </w:r>
      <w:r w:rsidRPr="001E75BD">
        <w:t xml:space="preserve"> or </w:t>
      </w:r>
      <w:r w:rsidRPr="001E75BD">
        <w:rPr>
          <w:bCs/>
        </w:rPr>
        <w:t>prone</w:t>
      </w:r>
      <w:r w:rsidRPr="001E75BD">
        <w:t xml:space="preserve"> position. The skin at and around the selected acupoint sites was strictly disinfected using </w:t>
      </w:r>
      <w:r w:rsidRPr="001E75BD">
        <w:rPr>
          <w:bCs/>
        </w:rPr>
        <w:t>75% isopropyl alcohol</w:t>
      </w:r>
      <w:r w:rsidRPr="0021274B">
        <w:t xml:space="preserve"> before needle insertion.</w:t>
      </w:r>
    </w:p>
    <w:p w14:paraId="0B4D4425" w14:textId="78D01607" w:rsidR="0021274B" w:rsidRPr="0021274B" w:rsidRDefault="001E75BD" w:rsidP="001E75BD">
      <w:pPr>
        <w:rPr>
          <w:b/>
          <w:bCs/>
        </w:rPr>
      </w:pPr>
      <w:r>
        <w:rPr>
          <w:b/>
          <w:bCs/>
        </w:rPr>
        <w:t>2.3</w:t>
      </w:r>
      <w:r w:rsidR="0021274B" w:rsidRPr="0021274B">
        <w:rPr>
          <w:b/>
          <w:bCs/>
        </w:rPr>
        <w:t xml:space="preserve"> Detailed Acupoint Selection and Manipulation Techniques</w:t>
      </w:r>
    </w:p>
    <w:p w14:paraId="2E3C00EE" w14:textId="77777777" w:rsidR="0021274B" w:rsidRPr="0021274B" w:rsidRDefault="0021274B" w:rsidP="0021274B">
      <w:pPr>
        <w:ind w:firstLineChars="200" w:firstLine="480"/>
      </w:pPr>
      <w:r w:rsidRPr="0021274B">
        <w:t>The "</w:t>
      </w:r>
      <w:proofErr w:type="spellStart"/>
      <w:r w:rsidRPr="0021274B">
        <w:t>Tongyang</w:t>
      </w:r>
      <w:proofErr w:type="spellEnd"/>
      <w:r w:rsidRPr="0021274B">
        <w:t xml:space="preserve"> </w:t>
      </w:r>
      <w:proofErr w:type="spellStart"/>
      <w:r w:rsidRPr="0021274B">
        <w:t>Xingshen</w:t>
      </w:r>
      <w:proofErr w:type="spellEnd"/>
      <w:r w:rsidRPr="0021274B">
        <w:t>" (Promoting Yang and Awakening the Spirit) protocol involved a specific sequence and precise needle manipulation to ensure the induction of the</w:t>
      </w:r>
      <w:r w:rsidRPr="001E75BD">
        <w:t xml:space="preserve"> </w:t>
      </w:r>
      <w:r w:rsidRPr="001E75BD">
        <w:rPr>
          <w:bCs/>
        </w:rPr>
        <w:t>"</w:t>
      </w:r>
      <w:proofErr w:type="spellStart"/>
      <w:r w:rsidRPr="001E75BD">
        <w:rPr>
          <w:bCs/>
        </w:rPr>
        <w:t>Deqi</w:t>
      </w:r>
      <w:proofErr w:type="spellEnd"/>
      <w:r w:rsidRPr="001E75BD">
        <w:rPr>
          <w:bCs/>
        </w:rPr>
        <w:t>" sensation</w:t>
      </w:r>
      <w:r w:rsidRPr="0021274B">
        <w:t xml:space="preserve"> (a characteristic feeling of soreness, numbness, or heaviness).</w:t>
      </w:r>
    </w:p>
    <w:tbl>
      <w:tblPr>
        <w:tblStyle w:val="af3"/>
        <w:tblW w:w="0" w:type="auto"/>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25"/>
        <w:gridCol w:w="1972"/>
        <w:gridCol w:w="2194"/>
        <w:gridCol w:w="2205"/>
      </w:tblGrid>
      <w:tr w:rsidR="001E75BD" w14:paraId="53998AA0" w14:textId="77777777" w:rsidTr="001E75BD">
        <w:tc>
          <w:tcPr>
            <w:tcW w:w="1925" w:type="dxa"/>
            <w:tcBorders>
              <w:top w:val="single" w:sz="4" w:space="0" w:color="auto"/>
              <w:bottom w:val="single" w:sz="4" w:space="0" w:color="auto"/>
            </w:tcBorders>
          </w:tcPr>
          <w:p w14:paraId="4237C9C2" w14:textId="11B6E608" w:rsidR="001E75BD" w:rsidRDefault="001E75BD" w:rsidP="001E75BD">
            <w:pPr>
              <w:jc w:val="center"/>
            </w:pPr>
            <w:r>
              <w:t>Acupoint (Code)</w:t>
            </w:r>
          </w:p>
        </w:tc>
        <w:tc>
          <w:tcPr>
            <w:tcW w:w="1972" w:type="dxa"/>
            <w:tcBorders>
              <w:top w:val="single" w:sz="4" w:space="0" w:color="auto"/>
              <w:bottom w:val="single" w:sz="4" w:space="0" w:color="auto"/>
            </w:tcBorders>
          </w:tcPr>
          <w:p w14:paraId="7143E5B3" w14:textId="53F5A5A2" w:rsidR="001E75BD" w:rsidRDefault="001E75BD" w:rsidP="001E75BD">
            <w:pPr>
              <w:jc w:val="center"/>
            </w:pPr>
            <w:r>
              <w:t>Localization</w:t>
            </w:r>
          </w:p>
        </w:tc>
        <w:tc>
          <w:tcPr>
            <w:tcW w:w="2194" w:type="dxa"/>
            <w:tcBorders>
              <w:top w:val="single" w:sz="4" w:space="0" w:color="auto"/>
              <w:bottom w:val="single" w:sz="4" w:space="0" w:color="auto"/>
            </w:tcBorders>
          </w:tcPr>
          <w:p w14:paraId="54CFF624" w14:textId="163354FC" w:rsidR="001E75BD" w:rsidRDefault="001E75BD" w:rsidP="001E75BD">
            <w:pPr>
              <w:jc w:val="center"/>
            </w:pPr>
            <w:r>
              <w:t>Insertion Technique &amp; Depth</w:t>
            </w:r>
          </w:p>
        </w:tc>
        <w:tc>
          <w:tcPr>
            <w:tcW w:w="2205" w:type="dxa"/>
            <w:tcBorders>
              <w:top w:val="single" w:sz="4" w:space="0" w:color="auto"/>
              <w:bottom w:val="single" w:sz="4" w:space="0" w:color="auto"/>
            </w:tcBorders>
          </w:tcPr>
          <w:p w14:paraId="4922B57E" w14:textId="1F1F2DA3" w:rsidR="001E75BD" w:rsidRDefault="001E75BD" w:rsidP="001E75BD">
            <w:pPr>
              <w:jc w:val="center"/>
            </w:pPr>
            <w:r>
              <w:t>Sensation/Requirement</w:t>
            </w:r>
          </w:p>
        </w:tc>
      </w:tr>
      <w:tr w:rsidR="001E75BD" w14:paraId="6C607DDB" w14:textId="77777777" w:rsidTr="001E75BD">
        <w:tc>
          <w:tcPr>
            <w:tcW w:w="1925" w:type="dxa"/>
            <w:tcBorders>
              <w:top w:val="single" w:sz="4" w:space="0" w:color="auto"/>
            </w:tcBorders>
          </w:tcPr>
          <w:p w14:paraId="4467EC86" w14:textId="5032111B" w:rsidR="001E75BD" w:rsidRDefault="001E75BD" w:rsidP="001E75BD">
            <w:pPr>
              <w:jc w:val="center"/>
            </w:pPr>
            <w:proofErr w:type="spellStart"/>
            <w:r>
              <w:t>Baihui</w:t>
            </w:r>
            <w:proofErr w:type="spellEnd"/>
            <w:r>
              <w:t xml:space="preserve"> (GV20)</w:t>
            </w:r>
          </w:p>
        </w:tc>
        <w:tc>
          <w:tcPr>
            <w:tcW w:w="1972" w:type="dxa"/>
            <w:tcBorders>
              <w:top w:val="single" w:sz="4" w:space="0" w:color="auto"/>
            </w:tcBorders>
          </w:tcPr>
          <w:p w14:paraId="61E9A6B2" w14:textId="41D8A95D" w:rsidR="001E75BD" w:rsidRDefault="001E75BD" w:rsidP="001E75BD">
            <w:pPr>
              <w:jc w:val="center"/>
            </w:pPr>
            <w:r>
              <w:t>At the vertex, on the midline.</w:t>
            </w:r>
          </w:p>
        </w:tc>
        <w:tc>
          <w:tcPr>
            <w:tcW w:w="2194" w:type="dxa"/>
            <w:tcBorders>
              <w:top w:val="single" w:sz="4" w:space="0" w:color="auto"/>
            </w:tcBorders>
          </w:tcPr>
          <w:p w14:paraId="5BACE895" w14:textId="48DAFC3B" w:rsidR="001E75BD" w:rsidRDefault="001E75BD" w:rsidP="001E75BD">
            <w:pPr>
              <w:jc w:val="center"/>
            </w:pPr>
            <w:r>
              <w:rPr>
                <w:b/>
                <w:bCs/>
              </w:rPr>
              <w:t>First needle.</w:t>
            </w:r>
            <w:r>
              <w:t xml:space="preserve"> Flat insertion (15–20 mm) anteriorly, penetrating the sub-aponeurotic layer.</w:t>
            </w:r>
          </w:p>
        </w:tc>
        <w:tc>
          <w:tcPr>
            <w:tcW w:w="2205" w:type="dxa"/>
            <w:tcBorders>
              <w:top w:val="single" w:sz="4" w:space="0" w:color="auto"/>
            </w:tcBorders>
          </w:tcPr>
          <w:p w14:paraId="136387E1" w14:textId="5B432840" w:rsidR="001E75BD" w:rsidRDefault="001E75BD" w:rsidP="001E75BD">
            <w:pPr>
              <w:jc w:val="center"/>
            </w:pPr>
            <w:r>
              <w:t>Feeling of heaviness or distension.</w:t>
            </w:r>
          </w:p>
        </w:tc>
      </w:tr>
      <w:tr w:rsidR="001E75BD" w14:paraId="329A7261" w14:textId="77777777" w:rsidTr="001E75BD">
        <w:tc>
          <w:tcPr>
            <w:tcW w:w="1925" w:type="dxa"/>
          </w:tcPr>
          <w:p w14:paraId="4CC92076" w14:textId="3B283090" w:rsidR="001E75BD" w:rsidRDefault="001E75BD" w:rsidP="001E75BD">
            <w:pPr>
              <w:jc w:val="center"/>
            </w:pPr>
            <w:proofErr w:type="spellStart"/>
            <w:r>
              <w:t>Yintang</w:t>
            </w:r>
            <w:proofErr w:type="spellEnd"/>
            <w:r>
              <w:t xml:space="preserve"> (GV29)</w:t>
            </w:r>
          </w:p>
        </w:tc>
        <w:tc>
          <w:tcPr>
            <w:tcW w:w="1972" w:type="dxa"/>
          </w:tcPr>
          <w:p w14:paraId="5AEF29E7" w14:textId="4869B323" w:rsidR="001E75BD" w:rsidRDefault="001E75BD" w:rsidP="001E75BD">
            <w:pPr>
              <w:jc w:val="center"/>
            </w:pPr>
            <w:r>
              <w:t>Midpoint between the eyebrows.</w:t>
            </w:r>
          </w:p>
        </w:tc>
        <w:tc>
          <w:tcPr>
            <w:tcW w:w="2194" w:type="dxa"/>
          </w:tcPr>
          <w:p w14:paraId="2427775C" w14:textId="24937BE1" w:rsidR="001E75BD" w:rsidRDefault="001E75BD" w:rsidP="001E75BD">
            <w:pPr>
              <w:jc w:val="center"/>
            </w:pPr>
            <w:r>
              <w:t>The skin was pinched and the needle inserted inferiorly (flat insertion, 7–12 mm).</w:t>
            </w:r>
          </w:p>
        </w:tc>
        <w:tc>
          <w:tcPr>
            <w:tcW w:w="2205" w:type="dxa"/>
          </w:tcPr>
          <w:p w14:paraId="191AC23E" w14:textId="44809BAD" w:rsidR="001E75BD" w:rsidRDefault="001E75BD" w:rsidP="001E75BD">
            <w:pPr>
              <w:jc w:val="center"/>
            </w:pPr>
            <w:r>
              <w:t>Local soreness.</w:t>
            </w:r>
          </w:p>
        </w:tc>
      </w:tr>
      <w:tr w:rsidR="001E75BD" w14:paraId="00877307" w14:textId="77777777" w:rsidTr="001E75BD">
        <w:tc>
          <w:tcPr>
            <w:tcW w:w="1925" w:type="dxa"/>
          </w:tcPr>
          <w:p w14:paraId="6A22D35E" w14:textId="56080474" w:rsidR="001E75BD" w:rsidRDefault="001E75BD" w:rsidP="001E75BD">
            <w:pPr>
              <w:jc w:val="center"/>
            </w:pPr>
            <w:proofErr w:type="spellStart"/>
            <w:r>
              <w:t>Fengfu</w:t>
            </w:r>
            <w:proofErr w:type="spellEnd"/>
            <w:r>
              <w:t xml:space="preserve"> (GV16)</w:t>
            </w:r>
          </w:p>
        </w:tc>
        <w:tc>
          <w:tcPr>
            <w:tcW w:w="1972" w:type="dxa"/>
          </w:tcPr>
          <w:p w14:paraId="5513BF13" w14:textId="3013DAF0" w:rsidR="001E75BD" w:rsidRDefault="001E75BD" w:rsidP="001E75BD">
            <w:pPr>
              <w:jc w:val="center"/>
            </w:pPr>
            <w:r>
              <w:t>Below the external occipital protuberance.</w:t>
            </w:r>
          </w:p>
        </w:tc>
        <w:tc>
          <w:tcPr>
            <w:tcW w:w="2194" w:type="dxa"/>
          </w:tcPr>
          <w:p w14:paraId="71961464" w14:textId="04BB5477" w:rsidR="001E75BD" w:rsidRDefault="001E75BD" w:rsidP="001E75BD">
            <w:pPr>
              <w:jc w:val="center"/>
            </w:pPr>
            <w:r>
              <w:t>Inserted 13–20 mm toward the tip of the nose.</w:t>
            </w:r>
          </w:p>
        </w:tc>
        <w:tc>
          <w:tcPr>
            <w:tcW w:w="2205" w:type="dxa"/>
          </w:tcPr>
          <w:p w14:paraId="25992E06" w14:textId="3863B0F4" w:rsidR="001E75BD" w:rsidRDefault="001E75BD" w:rsidP="001E75BD">
            <w:pPr>
              <w:jc w:val="center"/>
            </w:pPr>
            <w:r>
              <w:t>Careful depth control.</w:t>
            </w:r>
          </w:p>
        </w:tc>
      </w:tr>
      <w:tr w:rsidR="001E75BD" w14:paraId="69F0B8A5" w14:textId="77777777" w:rsidTr="001E75BD">
        <w:tc>
          <w:tcPr>
            <w:tcW w:w="1925" w:type="dxa"/>
          </w:tcPr>
          <w:p w14:paraId="675474A9" w14:textId="0C98BF9A" w:rsidR="001E75BD" w:rsidRDefault="001E75BD" w:rsidP="001E75BD">
            <w:pPr>
              <w:jc w:val="center"/>
            </w:pPr>
            <w:proofErr w:type="spellStart"/>
            <w:r>
              <w:t>Dazhui</w:t>
            </w:r>
            <w:proofErr w:type="spellEnd"/>
            <w:r>
              <w:t xml:space="preserve"> (GV14)</w:t>
            </w:r>
          </w:p>
        </w:tc>
        <w:tc>
          <w:tcPr>
            <w:tcW w:w="1972" w:type="dxa"/>
          </w:tcPr>
          <w:p w14:paraId="2E0C5C2D" w14:textId="4C2F898D" w:rsidR="001E75BD" w:rsidRDefault="001E75BD" w:rsidP="001E75BD">
            <w:pPr>
              <w:jc w:val="center"/>
            </w:pPr>
            <w:r>
              <w:t>Below the spinous process of C7.</w:t>
            </w:r>
          </w:p>
        </w:tc>
        <w:tc>
          <w:tcPr>
            <w:tcW w:w="2194" w:type="dxa"/>
            <w:vMerge w:val="restart"/>
          </w:tcPr>
          <w:p w14:paraId="2B38F50E" w14:textId="50EB8561" w:rsidR="001E75BD" w:rsidRDefault="001E75BD" w:rsidP="001E75BD">
            <w:pPr>
              <w:jc w:val="center"/>
            </w:pPr>
            <w:r>
              <w:t>Oblique insertion upward (45° angle) to a depth of 13–20 mm.</w:t>
            </w:r>
          </w:p>
        </w:tc>
        <w:tc>
          <w:tcPr>
            <w:tcW w:w="2205" w:type="dxa"/>
            <w:vMerge w:val="restart"/>
          </w:tcPr>
          <w:p w14:paraId="431DD13C" w14:textId="3FB9FA02" w:rsidR="001E75BD" w:rsidRDefault="001E75BD" w:rsidP="001E75BD">
            <w:pPr>
              <w:jc w:val="center"/>
            </w:pPr>
            <w:proofErr w:type="spellStart"/>
            <w:r>
              <w:t>Deqi</w:t>
            </w:r>
            <w:proofErr w:type="spellEnd"/>
            <w:r>
              <w:t xml:space="preserve"> sensation.</w:t>
            </w:r>
          </w:p>
        </w:tc>
      </w:tr>
      <w:tr w:rsidR="001E75BD" w14:paraId="0B89E2E1" w14:textId="77777777" w:rsidTr="001E75BD">
        <w:tc>
          <w:tcPr>
            <w:tcW w:w="1925" w:type="dxa"/>
          </w:tcPr>
          <w:p w14:paraId="52E88794" w14:textId="047700C1" w:rsidR="001E75BD" w:rsidRDefault="001E75BD" w:rsidP="001E75BD">
            <w:pPr>
              <w:jc w:val="center"/>
            </w:pPr>
            <w:proofErr w:type="spellStart"/>
            <w:r>
              <w:t>Taodao</w:t>
            </w:r>
            <w:proofErr w:type="spellEnd"/>
            <w:r>
              <w:t xml:space="preserve"> (GV13)</w:t>
            </w:r>
          </w:p>
        </w:tc>
        <w:tc>
          <w:tcPr>
            <w:tcW w:w="1972" w:type="dxa"/>
          </w:tcPr>
          <w:p w14:paraId="3DA61959" w14:textId="552F5392" w:rsidR="001E75BD" w:rsidRDefault="001E75BD" w:rsidP="001E75BD">
            <w:pPr>
              <w:jc w:val="center"/>
            </w:pPr>
            <w:r>
              <w:t>Below the spinous process of T1.</w:t>
            </w:r>
          </w:p>
        </w:tc>
        <w:tc>
          <w:tcPr>
            <w:tcW w:w="2194" w:type="dxa"/>
            <w:vMerge/>
          </w:tcPr>
          <w:p w14:paraId="28274A58" w14:textId="77777777" w:rsidR="001E75BD" w:rsidRDefault="001E75BD" w:rsidP="001E75BD">
            <w:pPr>
              <w:jc w:val="center"/>
            </w:pPr>
          </w:p>
        </w:tc>
        <w:tc>
          <w:tcPr>
            <w:tcW w:w="2205" w:type="dxa"/>
            <w:vMerge/>
          </w:tcPr>
          <w:p w14:paraId="065BD1BD" w14:textId="77777777" w:rsidR="001E75BD" w:rsidRDefault="001E75BD" w:rsidP="001E75BD">
            <w:pPr>
              <w:jc w:val="center"/>
            </w:pPr>
          </w:p>
        </w:tc>
      </w:tr>
      <w:tr w:rsidR="001E75BD" w14:paraId="20BB09B6" w14:textId="77777777" w:rsidTr="001E75BD">
        <w:tc>
          <w:tcPr>
            <w:tcW w:w="1925" w:type="dxa"/>
          </w:tcPr>
          <w:p w14:paraId="43D19373" w14:textId="7B7787A7" w:rsidR="001E75BD" w:rsidRDefault="001E75BD" w:rsidP="001E75BD">
            <w:pPr>
              <w:jc w:val="center"/>
            </w:pPr>
            <w:proofErr w:type="spellStart"/>
            <w:r>
              <w:t>Shenzhu</w:t>
            </w:r>
            <w:proofErr w:type="spellEnd"/>
            <w:r>
              <w:t xml:space="preserve"> (GV12)</w:t>
            </w:r>
          </w:p>
        </w:tc>
        <w:tc>
          <w:tcPr>
            <w:tcW w:w="1972" w:type="dxa"/>
          </w:tcPr>
          <w:p w14:paraId="5A128814" w14:textId="2E91ECD7" w:rsidR="001E75BD" w:rsidRDefault="001E75BD" w:rsidP="001E75BD">
            <w:pPr>
              <w:jc w:val="center"/>
            </w:pPr>
            <w:r>
              <w:t>Below the spinous process of T3.</w:t>
            </w:r>
          </w:p>
        </w:tc>
        <w:tc>
          <w:tcPr>
            <w:tcW w:w="2194" w:type="dxa"/>
            <w:vMerge/>
          </w:tcPr>
          <w:p w14:paraId="13FB5749" w14:textId="77777777" w:rsidR="001E75BD" w:rsidRDefault="001E75BD" w:rsidP="001E75BD">
            <w:pPr>
              <w:jc w:val="center"/>
            </w:pPr>
          </w:p>
        </w:tc>
        <w:tc>
          <w:tcPr>
            <w:tcW w:w="2205" w:type="dxa"/>
            <w:vMerge/>
          </w:tcPr>
          <w:p w14:paraId="2C505434" w14:textId="77777777" w:rsidR="001E75BD" w:rsidRDefault="001E75BD" w:rsidP="001E75BD">
            <w:pPr>
              <w:jc w:val="center"/>
            </w:pPr>
          </w:p>
        </w:tc>
      </w:tr>
      <w:tr w:rsidR="001E75BD" w14:paraId="3143CADC" w14:textId="77777777" w:rsidTr="001E75BD">
        <w:tc>
          <w:tcPr>
            <w:tcW w:w="1925" w:type="dxa"/>
          </w:tcPr>
          <w:p w14:paraId="42705526" w14:textId="586335BE" w:rsidR="001E75BD" w:rsidRDefault="001E75BD" w:rsidP="001E75BD">
            <w:pPr>
              <w:jc w:val="center"/>
            </w:pPr>
            <w:proofErr w:type="spellStart"/>
            <w:r>
              <w:lastRenderedPageBreak/>
              <w:t>Shendao</w:t>
            </w:r>
            <w:proofErr w:type="spellEnd"/>
            <w:r>
              <w:t xml:space="preserve"> (GV11)</w:t>
            </w:r>
          </w:p>
        </w:tc>
        <w:tc>
          <w:tcPr>
            <w:tcW w:w="1972" w:type="dxa"/>
          </w:tcPr>
          <w:p w14:paraId="6A7F57F6" w14:textId="0191F3A3" w:rsidR="001E75BD" w:rsidRDefault="001E75BD" w:rsidP="001E75BD">
            <w:pPr>
              <w:jc w:val="center"/>
            </w:pPr>
            <w:r>
              <w:t>Below the spinous process of T5.</w:t>
            </w:r>
          </w:p>
        </w:tc>
        <w:tc>
          <w:tcPr>
            <w:tcW w:w="2194" w:type="dxa"/>
            <w:vMerge/>
          </w:tcPr>
          <w:p w14:paraId="325E6B4F" w14:textId="77777777" w:rsidR="001E75BD" w:rsidRDefault="001E75BD" w:rsidP="001E75BD">
            <w:pPr>
              <w:jc w:val="center"/>
            </w:pPr>
          </w:p>
        </w:tc>
        <w:tc>
          <w:tcPr>
            <w:tcW w:w="2205" w:type="dxa"/>
            <w:vMerge/>
          </w:tcPr>
          <w:p w14:paraId="6B478199" w14:textId="77777777" w:rsidR="001E75BD" w:rsidRDefault="001E75BD" w:rsidP="001E75BD">
            <w:pPr>
              <w:jc w:val="center"/>
            </w:pPr>
          </w:p>
        </w:tc>
      </w:tr>
      <w:tr w:rsidR="001E75BD" w14:paraId="26B66BB6" w14:textId="77777777" w:rsidTr="001E75BD">
        <w:tc>
          <w:tcPr>
            <w:tcW w:w="1925" w:type="dxa"/>
          </w:tcPr>
          <w:p w14:paraId="56BBE766" w14:textId="5E884B9D" w:rsidR="001E75BD" w:rsidRDefault="001E75BD" w:rsidP="001E75BD">
            <w:pPr>
              <w:jc w:val="center"/>
            </w:pPr>
            <w:proofErr w:type="spellStart"/>
            <w:r>
              <w:t>Zhiyang</w:t>
            </w:r>
            <w:proofErr w:type="spellEnd"/>
            <w:r>
              <w:t xml:space="preserve"> (GV9)</w:t>
            </w:r>
          </w:p>
        </w:tc>
        <w:tc>
          <w:tcPr>
            <w:tcW w:w="1972" w:type="dxa"/>
          </w:tcPr>
          <w:p w14:paraId="01A92833" w14:textId="1173E93C" w:rsidR="001E75BD" w:rsidRDefault="001E75BD" w:rsidP="001E75BD">
            <w:pPr>
              <w:jc w:val="center"/>
            </w:pPr>
            <w:r>
              <w:t>Below the spinous process of T7.</w:t>
            </w:r>
          </w:p>
        </w:tc>
        <w:tc>
          <w:tcPr>
            <w:tcW w:w="2194" w:type="dxa"/>
            <w:vMerge/>
          </w:tcPr>
          <w:p w14:paraId="5177CE78" w14:textId="77777777" w:rsidR="001E75BD" w:rsidRDefault="001E75BD" w:rsidP="001E75BD">
            <w:pPr>
              <w:jc w:val="center"/>
            </w:pPr>
          </w:p>
        </w:tc>
        <w:tc>
          <w:tcPr>
            <w:tcW w:w="2205" w:type="dxa"/>
            <w:vMerge/>
          </w:tcPr>
          <w:p w14:paraId="7C38B64C" w14:textId="77777777" w:rsidR="001E75BD" w:rsidRDefault="001E75BD" w:rsidP="001E75BD">
            <w:pPr>
              <w:jc w:val="center"/>
            </w:pPr>
          </w:p>
        </w:tc>
      </w:tr>
      <w:tr w:rsidR="001E75BD" w14:paraId="5FF696FE" w14:textId="77777777" w:rsidTr="001E75BD">
        <w:tc>
          <w:tcPr>
            <w:tcW w:w="1925" w:type="dxa"/>
          </w:tcPr>
          <w:p w14:paraId="592FC92A" w14:textId="5A05B60D" w:rsidR="001E75BD" w:rsidRDefault="001E75BD" w:rsidP="001E75BD">
            <w:pPr>
              <w:jc w:val="center"/>
            </w:pPr>
            <w:proofErr w:type="spellStart"/>
            <w:r>
              <w:t>Jinsuo</w:t>
            </w:r>
            <w:proofErr w:type="spellEnd"/>
            <w:r>
              <w:t xml:space="preserve"> (GV8)</w:t>
            </w:r>
          </w:p>
        </w:tc>
        <w:tc>
          <w:tcPr>
            <w:tcW w:w="1972" w:type="dxa"/>
          </w:tcPr>
          <w:p w14:paraId="194547FF" w14:textId="1498BD43" w:rsidR="001E75BD" w:rsidRDefault="001E75BD" w:rsidP="001E75BD">
            <w:pPr>
              <w:jc w:val="center"/>
            </w:pPr>
            <w:r>
              <w:t>Below the spinous process of T9.</w:t>
            </w:r>
          </w:p>
        </w:tc>
        <w:tc>
          <w:tcPr>
            <w:tcW w:w="2194" w:type="dxa"/>
            <w:vMerge/>
          </w:tcPr>
          <w:p w14:paraId="11E7BF28" w14:textId="77777777" w:rsidR="001E75BD" w:rsidRDefault="001E75BD" w:rsidP="001E75BD">
            <w:pPr>
              <w:jc w:val="center"/>
            </w:pPr>
          </w:p>
        </w:tc>
        <w:tc>
          <w:tcPr>
            <w:tcW w:w="2205" w:type="dxa"/>
            <w:vMerge/>
          </w:tcPr>
          <w:p w14:paraId="029D19E2" w14:textId="77777777" w:rsidR="001E75BD" w:rsidRDefault="001E75BD" w:rsidP="001E75BD">
            <w:pPr>
              <w:jc w:val="center"/>
            </w:pPr>
          </w:p>
        </w:tc>
      </w:tr>
      <w:tr w:rsidR="001E75BD" w14:paraId="7649762F" w14:textId="77777777" w:rsidTr="001E75BD">
        <w:tc>
          <w:tcPr>
            <w:tcW w:w="1925" w:type="dxa"/>
          </w:tcPr>
          <w:p w14:paraId="450EADE1" w14:textId="01454275" w:rsidR="001E75BD" w:rsidRDefault="001E75BD" w:rsidP="001E75BD">
            <w:pPr>
              <w:jc w:val="center"/>
            </w:pPr>
            <w:proofErr w:type="spellStart"/>
            <w:r>
              <w:t>Lieque</w:t>
            </w:r>
            <w:proofErr w:type="spellEnd"/>
            <w:r>
              <w:t xml:space="preserve"> (LU7)</w:t>
            </w:r>
          </w:p>
        </w:tc>
        <w:tc>
          <w:tcPr>
            <w:tcW w:w="1972" w:type="dxa"/>
          </w:tcPr>
          <w:p w14:paraId="5F317298" w14:textId="180A1C59" w:rsidR="001E75BD" w:rsidRDefault="001E75BD" w:rsidP="001E75BD">
            <w:pPr>
              <w:jc w:val="center"/>
            </w:pPr>
            <w:r>
              <w:t>Proximal to the styloid process.</w:t>
            </w:r>
          </w:p>
        </w:tc>
        <w:tc>
          <w:tcPr>
            <w:tcW w:w="2194" w:type="dxa"/>
            <w:vMerge/>
          </w:tcPr>
          <w:p w14:paraId="0706139A" w14:textId="77777777" w:rsidR="001E75BD" w:rsidRDefault="001E75BD" w:rsidP="001E75BD">
            <w:pPr>
              <w:jc w:val="center"/>
            </w:pPr>
          </w:p>
        </w:tc>
        <w:tc>
          <w:tcPr>
            <w:tcW w:w="2205" w:type="dxa"/>
            <w:vMerge/>
          </w:tcPr>
          <w:p w14:paraId="0F2AC162" w14:textId="77777777" w:rsidR="001E75BD" w:rsidRDefault="001E75BD" w:rsidP="001E75BD">
            <w:pPr>
              <w:jc w:val="center"/>
            </w:pPr>
          </w:p>
        </w:tc>
      </w:tr>
    </w:tbl>
    <w:p w14:paraId="0347C7BE" w14:textId="08D5A66E" w:rsidR="0021274B" w:rsidRDefault="001E75BD" w:rsidP="008A592F">
      <w:pPr>
        <w:ind w:firstLineChars="200" w:firstLine="480"/>
      </w:pPr>
      <w:r w:rsidRPr="001E75BD">
        <w:t xml:space="preserve">Note: All needles were manipulated using an </w:t>
      </w:r>
      <w:r w:rsidRPr="001E75BD">
        <w:rPr>
          <w:bCs/>
        </w:rPr>
        <w:t>even twirling method</w:t>
      </w:r>
      <w:r w:rsidRPr="001E75BD">
        <w:t xml:space="preserve"> (uniform rotation) until the </w:t>
      </w:r>
      <w:proofErr w:type="spellStart"/>
      <w:r w:rsidRPr="001E75BD">
        <w:t>Deqi</w:t>
      </w:r>
      <w:proofErr w:type="spellEnd"/>
      <w:r w:rsidRPr="001E75BD">
        <w:t xml:space="preserve"> sensation was achieved. The needles were retained in situ for a total of </w:t>
      </w:r>
      <w:r w:rsidRPr="001E75BD">
        <w:rPr>
          <w:bCs/>
        </w:rPr>
        <w:t>30 minutes</w:t>
      </w:r>
      <w:r w:rsidRPr="001E75BD">
        <w:t xml:space="preserve"> per session.</w:t>
      </w:r>
    </w:p>
    <w:p w14:paraId="06F660F7" w14:textId="77777777" w:rsidR="001E75BD" w:rsidRDefault="001E75BD" w:rsidP="001E75BD"/>
    <w:p w14:paraId="33E80FD2" w14:textId="018F5EFA" w:rsidR="001E75BD" w:rsidRPr="001E75BD" w:rsidRDefault="001E75BD" w:rsidP="001E75BD">
      <w:pPr>
        <w:rPr>
          <w:b/>
          <w:bCs/>
        </w:rPr>
      </w:pPr>
      <w:r w:rsidRPr="001E75BD">
        <w:rPr>
          <w:rFonts w:hint="eastAsia"/>
          <w:b/>
        </w:rPr>
        <w:t>2</w:t>
      </w:r>
      <w:r w:rsidRPr="001E75BD">
        <w:rPr>
          <w:b/>
        </w:rPr>
        <w:t>.</w:t>
      </w:r>
      <w:r>
        <w:rPr>
          <w:b/>
          <w:bCs/>
        </w:rPr>
        <w:t>4</w:t>
      </w:r>
      <w:r w:rsidRPr="001E75BD">
        <w:rPr>
          <w:b/>
          <w:bCs/>
        </w:rPr>
        <w:t xml:space="preserve"> Intervention Schedule and Inclusion Rationale</w:t>
      </w:r>
    </w:p>
    <w:p w14:paraId="68B3BEFB" w14:textId="77777777" w:rsidR="001E75BD" w:rsidRPr="001E75BD" w:rsidRDefault="001E75BD" w:rsidP="001E75BD">
      <w:pPr>
        <w:ind w:firstLineChars="200" w:firstLine="482"/>
      </w:pPr>
      <w:r w:rsidRPr="001E75BD">
        <w:rPr>
          <w:b/>
          <w:bCs/>
        </w:rPr>
        <w:t>Dosage:</w:t>
      </w:r>
      <w:r w:rsidRPr="001E75BD">
        <w:t xml:space="preserve"> One session daily, five consecutive days per week (Monday to Friday), followed by a two-day break.</w:t>
      </w:r>
    </w:p>
    <w:p w14:paraId="52B29F44" w14:textId="77777777" w:rsidR="001E75BD" w:rsidRPr="001E75BD" w:rsidRDefault="001E75BD" w:rsidP="001E75BD">
      <w:pPr>
        <w:ind w:firstLineChars="200" w:firstLine="482"/>
      </w:pPr>
      <w:r w:rsidRPr="001E75BD">
        <w:rPr>
          <w:b/>
          <w:bCs/>
        </w:rPr>
        <w:t>Total Sessions:</w:t>
      </w:r>
      <w:r w:rsidRPr="001E75BD">
        <w:t xml:space="preserve"> 10 sessions completed within a 2-week period.</w:t>
      </w:r>
    </w:p>
    <w:p w14:paraId="2994C5C0" w14:textId="7E5A0A61" w:rsidR="001E75BD" w:rsidRDefault="001E75BD" w:rsidP="001E75BD">
      <w:pPr>
        <w:ind w:firstLineChars="200" w:firstLine="482"/>
      </w:pPr>
      <w:r w:rsidRPr="001E75BD">
        <w:rPr>
          <w:b/>
          <w:bCs/>
        </w:rPr>
        <w:t>Inclusion for Analysis:</w:t>
      </w:r>
      <w:r w:rsidRPr="001E75BD">
        <w:t xml:space="preserve"> </w:t>
      </w:r>
      <w:r w:rsidR="003E3354" w:rsidRPr="003E3354">
        <w:t>In accordance with the predefined study protocol, participants who completed at least 5 acupuncture sessions within the 2-week treatment window were considered to have received adequate treatment exposure and were included in the final analysis.</w:t>
      </w:r>
    </w:p>
    <w:p w14:paraId="29F654CE" w14:textId="77777777" w:rsidR="001E75BD" w:rsidRPr="001E75BD" w:rsidRDefault="001E75BD" w:rsidP="001E75BD"/>
    <w:p w14:paraId="4B732C9E" w14:textId="77DF9ED0" w:rsidR="001E75BD" w:rsidRPr="001E75BD" w:rsidRDefault="001E75BD" w:rsidP="001E75BD">
      <w:pPr>
        <w:rPr>
          <w:b/>
          <w:bCs/>
        </w:rPr>
      </w:pPr>
      <w:r>
        <w:rPr>
          <w:b/>
          <w:bCs/>
        </w:rPr>
        <w:t>2.5</w:t>
      </w:r>
      <w:r w:rsidRPr="001E75BD">
        <w:rPr>
          <w:b/>
          <w:bCs/>
        </w:rPr>
        <w:t xml:space="preserve"> Practitioner Qualifications and Quality Control</w:t>
      </w:r>
    </w:p>
    <w:p w14:paraId="1C838962" w14:textId="77777777" w:rsidR="001E75BD" w:rsidRPr="001E75BD" w:rsidRDefault="001E75BD" w:rsidP="001E75BD">
      <w:pPr>
        <w:ind w:firstLineChars="200" w:firstLine="480"/>
      </w:pPr>
      <w:r w:rsidRPr="001E75BD">
        <w:t>To ensure the high internal validity of the intervention:</w:t>
      </w:r>
    </w:p>
    <w:p w14:paraId="7D3A4239" w14:textId="06661D3D" w:rsidR="001E75BD" w:rsidRPr="001E75BD" w:rsidRDefault="001E75BD" w:rsidP="001E75BD">
      <w:pPr>
        <w:ind w:firstLineChars="200" w:firstLine="482"/>
      </w:pPr>
      <w:r>
        <w:rPr>
          <w:b/>
          <w:bCs/>
        </w:rPr>
        <w:t xml:space="preserve">1. </w:t>
      </w:r>
      <w:r w:rsidRPr="001E75BD">
        <w:rPr>
          <w:b/>
          <w:bCs/>
        </w:rPr>
        <w:t>Clinical Experience:</w:t>
      </w:r>
      <w:r w:rsidRPr="001E75BD">
        <w:t xml:space="preserve"> All treatments were administered by licensed TCM practitioners with a minimum of </w:t>
      </w:r>
      <w:r w:rsidRPr="001E75BD">
        <w:rPr>
          <w:bCs/>
        </w:rPr>
        <w:t>eleven years</w:t>
      </w:r>
      <w:r w:rsidRPr="001E75BD">
        <w:t xml:space="preserve"> of academic TCM education and at least </w:t>
      </w:r>
      <w:r w:rsidRPr="001E75BD">
        <w:rPr>
          <w:bCs/>
        </w:rPr>
        <w:t>three years</w:t>
      </w:r>
      <w:r w:rsidRPr="001E75BD">
        <w:t xml:space="preserve"> of specialized clinical experience in acupuncture.</w:t>
      </w:r>
    </w:p>
    <w:p w14:paraId="149F0F12" w14:textId="0AC4A8DA" w:rsidR="001E75BD" w:rsidRPr="0021274B" w:rsidRDefault="001E75BD" w:rsidP="001E75BD">
      <w:pPr>
        <w:ind w:firstLineChars="200" w:firstLine="482"/>
      </w:pPr>
      <w:r>
        <w:rPr>
          <w:b/>
          <w:bCs/>
        </w:rPr>
        <w:t xml:space="preserve">2. </w:t>
      </w:r>
      <w:r w:rsidRPr="001E75BD">
        <w:rPr>
          <w:b/>
          <w:bCs/>
        </w:rPr>
        <w:t>Consistency Training:</w:t>
      </w:r>
      <w:r w:rsidRPr="001E75BD">
        <w:t xml:space="preserve"> Before the trial commenced, all practitioners underwent rigorous standardization training. This training was supervised by two senior acupuncturists and consisted of </w:t>
      </w:r>
      <w:r w:rsidRPr="001E75BD">
        <w:rPr>
          <w:bCs/>
        </w:rPr>
        <w:t>eight or more rounds</w:t>
      </w:r>
      <w:r w:rsidRPr="001E75BD">
        <w:t xml:space="preserve"> of technical evaluation </w:t>
      </w:r>
      <w:r w:rsidRPr="001E75BD">
        <w:lastRenderedPageBreak/>
        <w:t xml:space="preserve">over a </w:t>
      </w:r>
      <w:r w:rsidRPr="001E75BD">
        <w:rPr>
          <w:bCs/>
        </w:rPr>
        <w:t>six-month period</w:t>
      </w:r>
      <w:r w:rsidRPr="001E75BD">
        <w:t xml:space="preserve"> to ensure uniform needle depth, angle, and manipulation across all participants.</w:t>
      </w:r>
    </w:p>
    <w:p w14:paraId="1E0B700B" w14:textId="77777777" w:rsidR="008A592F" w:rsidRPr="008A592F" w:rsidRDefault="008A592F" w:rsidP="008A592F">
      <w:pPr>
        <w:ind w:firstLineChars="200" w:firstLine="480"/>
      </w:pPr>
      <w:r w:rsidRPr="008A592F">
        <w:t xml:space="preserve">This study followed a standardized protocol. All practitioners were licensed acupuncturists with at least </w:t>
      </w:r>
      <w:r w:rsidRPr="008A592F">
        <w:rPr>
          <w:rFonts w:hint="eastAsia"/>
        </w:rPr>
        <w:t>eleven</w:t>
      </w:r>
      <w:r w:rsidRPr="008A592F">
        <w:t xml:space="preserve"> years of TCM education and </w:t>
      </w:r>
      <w:r w:rsidRPr="008A592F">
        <w:rPr>
          <w:rFonts w:hint="eastAsia"/>
        </w:rPr>
        <w:t>three</w:t>
      </w:r>
      <w:r w:rsidRPr="008A592F">
        <w:t xml:space="preserve"> year of clinical experience. Consistency training was conducted by two senior acupuncturists</w:t>
      </w:r>
      <w:r w:rsidRPr="008A592F">
        <w:rPr>
          <w:rFonts w:hint="eastAsia"/>
        </w:rPr>
        <w:t>, spanning more than a six-month period.</w:t>
      </w:r>
    </w:p>
    <w:p w14:paraId="5223F968" w14:textId="77777777" w:rsidR="002770E6" w:rsidRDefault="002770E6" w:rsidP="009A2F87">
      <w:pPr>
        <w:ind w:firstLineChars="200" w:firstLine="480"/>
      </w:pPr>
    </w:p>
    <w:p w14:paraId="04EECC6F" w14:textId="77777777" w:rsidR="002770E6" w:rsidRDefault="002770E6" w:rsidP="009A2F87">
      <w:pPr>
        <w:ind w:firstLineChars="200" w:firstLine="480"/>
      </w:pPr>
    </w:p>
    <w:p w14:paraId="026A782C" w14:textId="3F59E81D" w:rsidR="001E75BD" w:rsidRPr="001E75BD" w:rsidRDefault="002770E6" w:rsidP="001E75BD">
      <w:pPr>
        <w:pStyle w:val="EndNoteBibliography"/>
      </w:pPr>
      <w:r>
        <w:fldChar w:fldCharType="begin"/>
      </w:r>
      <w:r>
        <w:instrText xml:space="preserve"> ADDIN EN.REFLIST </w:instrText>
      </w:r>
      <w:r>
        <w:fldChar w:fldCharType="separate"/>
      </w:r>
      <w:r w:rsidR="001E75BD" w:rsidRPr="001E75BD">
        <w:t xml:space="preserve"> </w:t>
      </w:r>
    </w:p>
    <w:p w14:paraId="56E032A0" w14:textId="42172371" w:rsidR="001E75BD" w:rsidRPr="001E75BD" w:rsidRDefault="001E75BD" w:rsidP="001E75BD">
      <w:pPr>
        <w:pStyle w:val="EndNoteBibliography"/>
      </w:pPr>
      <w:r w:rsidRPr="001E75BD">
        <w:t>[</w:t>
      </w:r>
      <w:r w:rsidR="00B76436">
        <w:t>1</w:t>
      </w:r>
      <w:r w:rsidRPr="001E75BD">
        <w:t>] Jia C. Traditional Chinese Medicine. Beijing: People's Medical Publishing House.</w:t>
      </w:r>
    </w:p>
    <w:p w14:paraId="7ABE3CE7" w14:textId="748FF812" w:rsidR="001E75BD" w:rsidRPr="001E75BD" w:rsidRDefault="001E75BD" w:rsidP="001E75BD">
      <w:pPr>
        <w:pStyle w:val="EndNoteBibliography"/>
      </w:pPr>
      <w:r w:rsidRPr="001E75BD">
        <w:t>[</w:t>
      </w:r>
      <w:r w:rsidR="00B76436">
        <w:t>2</w:t>
      </w:r>
      <w:r w:rsidRPr="001E75BD">
        <w:t>] Hu L, Liu Q. Meridian and Acupoint Theory, 2nd ed. Shanghai Science and Technology Press:  2018.</w:t>
      </w:r>
    </w:p>
    <w:p w14:paraId="489802E1" w14:textId="23722DE3" w:rsidR="009A2F87" w:rsidRDefault="002770E6" w:rsidP="00BE6072">
      <w:r>
        <w:fldChar w:fldCharType="end"/>
      </w:r>
      <w:bookmarkStart w:id="0" w:name="_GoBack"/>
      <w:bookmarkEnd w:id="0"/>
    </w:p>
    <w:p w14:paraId="3E924208" w14:textId="0CDFAE57" w:rsidR="003D4531" w:rsidRPr="003E3354" w:rsidRDefault="003D4531" w:rsidP="00BE6072">
      <w:pPr>
        <w:rPr>
          <w:b/>
          <w:bCs/>
          <w:sz w:val="28"/>
          <w:szCs w:val="28"/>
        </w:rPr>
      </w:pPr>
    </w:p>
    <w:sectPr w:rsidR="003D4531" w:rsidRPr="003E335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59835A" w14:textId="77777777" w:rsidR="00004C72" w:rsidRDefault="00004C72" w:rsidP="009A2F87">
      <w:pPr>
        <w:spacing w:line="240" w:lineRule="auto"/>
      </w:pPr>
      <w:r>
        <w:separator/>
      </w:r>
    </w:p>
  </w:endnote>
  <w:endnote w:type="continuationSeparator" w:id="0">
    <w:p w14:paraId="452B0CD3" w14:textId="77777777" w:rsidR="00004C72" w:rsidRDefault="00004C72" w:rsidP="009A2F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124823" w14:textId="77777777" w:rsidR="00004C72" w:rsidRDefault="00004C72" w:rsidP="009A2F87">
      <w:pPr>
        <w:spacing w:line="240" w:lineRule="auto"/>
      </w:pPr>
      <w:r>
        <w:separator/>
      </w:r>
    </w:p>
  </w:footnote>
  <w:footnote w:type="continuationSeparator" w:id="0">
    <w:p w14:paraId="609FC91B" w14:textId="77777777" w:rsidR="00004C72" w:rsidRDefault="00004C72" w:rsidP="009A2F8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9D725D"/>
    <w:multiLevelType w:val="multilevel"/>
    <w:tmpl w:val="540E2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90B42F6"/>
    <w:multiLevelType w:val="multilevel"/>
    <w:tmpl w:val="21260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33F3E8E"/>
    <w:multiLevelType w:val="multilevel"/>
    <w:tmpl w:val="4182AA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IMR Press&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50taz0fth202xjet9xkv5ff4vvdfztfre9a5&quot;&gt;我的EndNote库&lt;record-ids&gt;&lt;item&gt;308&lt;/item&gt;&lt;item&gt;310&lt;/item&gt;&lt;/record-ids&gt;&lt;/item&gt;&lt;/Libraries&gt;"/>
  </w:docVars>
  <w:rsids>
    <w:rsidRoot w:val="00DC4B97"/>
    <w:rsid w:val="00004C72"/>
    <w:rsid w:val="0008309C"/>
    <w:rsid w:val="001B33DD"/>
    <w:rsid w:val="001E75BD"/>
    <w:rsid w:val="0021274B"/>
    <w:rsid w:val="002352C4"/>
    <w:rsid w:val="002770E6"/>
    <w:rsid w:val="0028067C"/>
    <w:rsid w:val="002A2B13"/>
    <w:rsid w:val="003D4531"/>
    <w:rsid w:val="003E3354"/>
    <w:rsid w:val="003F6B79"/>
    <w:rsid w:val="005B59C9"/>
    <w:rsid w:val="005B7159"/>
    <w:rsid w:val="006C0822"/>
    <w:rsid w:val="00834EDF"/>
    <w:rsid w:val="0084377A"/>
    <w:rsid w:val="008A592F"/>
    <w:rsid w:val="009A2F87"/>
    <w:rsid w:val="009E12C2"/>
    <w:rsid w:val="00B078E7"/>
    <w:rsid w:val="00B76436"/>
    <w:rsid w:val="00BC5DB5"/>
    <w:rsid w:val="00BE6072"/>
    <w:rsid w:val="00D44BA0"/>
    <w:rsid w:val="00DC4B97"/>
    <w:rsid w:val="00E1125B"/>
    <w:rsid w:val="00E6301E"/>
    <w:rsid w:val="00EB496F"/>
    <w:rsid w:val="00F365E1"/>
    <w:rsid w:val="00F766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650ABE"/>
  <w15:chartTrackingRefBased/>
  <w15:docId w15:val="{00CA5C7F-2A50-43A6-B6F7-9D0982B98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Segoe UI"/>
        <w:color w:val="222222"/>
        <w:sz w:val="24"/>
        <w:szCs w:val="24"/>
        <w:lang w:val="en-US" w:eastAsia="zh-CN" w:bidi="ar-SA"/>
      </w:rPr>
    </w:rPrDefault>
    <w:pPrDefault>
      <w:pPr>
        <w:spacing w:line="360"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DC4B97"/>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DC4B97"/>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DC4B97"/>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DC4B97"/>
    <w:pPr>
      <w:keepNext/>
      <w:keepLines/>
      <w:spacing w:before="80" w:after="40"/>
      <w:outlineLvl w:val="3"/>
    </w:pPr>
    <w:rPr>
      <w:rFonts w:asciiTheme="minorHAnsi" w:eastAsiaTheme="minorEastAsia" w:hAnsiTheme="minorHAnsi" w:cstheme="majorBidi"/>
      <w:color w:val="2F5496" w:themeColor="accent1" w:themeShade="BF"/>
      <w:sz w:val="28"/>
      <w:szCs w:val="28"/>
    </w:rPr>
  </w:style>
  <w:style w:type="paragraph" w:styleId="5">
    <w:name w:val="heading 5"/>
    <w:basedOn w:val="a"/>
    <w:next w:val="a"/>
    <w:link w:val="50"/>
    <w:uiPriority w:val="9"/>
    <w:semiHidden/>
    <w:unhideWhenUsed/>
    <w:qFormat/>
    <w:rsid w:val="00DC4B97"/>
    <w:pPr>
      <w:keepNext/>
      <w:keepLines/>
      <w:spacing w:before="80" w:after="40"/>
      <w:outlineLvl w:val="4"/>
    </w:pPr>
    <w:rPr>
      <w:rFonts w:asciiTheme="minorHAnsi" w:eastAsiaTheme="minorEastAsia" w:hAnsiTheme="minorHAnsi" w:cstheme="majorBidi"/>
      <w:color w:val="2F5496" w:themeColor="accent1" w:themeShade="BF"/>
    </w:rPr>
  </w:style>
  <w:style w:type="paragraph" w:styleId="6">
    <w:name w:val="heading 6"/>
    <w:basedOn w:val="a"/>
    <w:next w:val="a"/>
    <w:link w:val="60"/>
    <w:uiPriority w:val="9"/>
    <w:semiHidden/>
    <w:unhideWhenUsed/>
    <w:qFormat/>
    <w:rsid w:val="00DC4B97"/>
    <w:pPr>
      <w:keepNext/>
      <w:keepLines/>
      <w:spacing w:before="40"/>
      <w:outlineLvl w:val="5"/>
    </w:pPr>
    <w:rPr>
      <w:rFonts w:asciiTheme="minorHAnsi" w:eastAsiaTheme="minorEastAsia" w:hAnsiTheme="minorHAnsi" w:cstheme="majorBidi"/>
      <w:b/>
      <w:bCs/>
      <w:color w:val="2F5496" w:themeColor="accent1" w:themeShade="BF"/>
    </w:rPr>
  </w:style>
  <w:style w:type="paragraph" w:styleId="7">
    <w:name w:val="heading 7"/>
    <w:basedOn w:val="a"/>
    <w:next w:val="a"/>
    <w:link w:val="70"/>
    <w:uiPriority w:val="9"/>
    <w:semiHidden/>
    <w:unhideWhenUsed/>
    <w:qFormat/>
    <w:rsid w:val="00DC4B97"/>
    <w:pPr>
      <w:keepNext/>
      <w:keepLines/>
      <w:spacing w:before="40"/>
      <w:outlineLvl w:val="6"/>
    </w:pPr>
    <w:rPr>
      <w:rFonts w:asciiTheme="minorHAnsi" w:eastAsiaTheme="minorEastAsia" w:hAnsiTheme="minorHAnsi" w:cstheme="majorBidi"/>
      <w:b/>
      <w:bCs/>
      <w:color w:val="595959" w:themeColor="text1" w:themeTint="A6"/>
    </w:rPr>
  </w:style>
  <w:style w:type="paragraph" w:styleId="8">
    <w:name w:val="heading 8"/>
    <w:basedOn w:val="a"/>
    <w:next w:val="a"/>
    <w:link w:val="80"/>
    <w:uiPriority w:val="9"/>
    <w:semiHidden/>
    <w:unhideWhenUsed/>
    <w:qFormat/>
    <w:rsid w:val="00DC4B97"/>
    <w:pPr>
      <w:keepNext/>
      <w:keepLines/>
      <w:outlineLvl w:val="7"/>
    </w:pPr>
    <w:rPr>
      <w:rFonts w:asciiTheme="minorHAnsi" w:eastAsiaTheme="minorEastAsia" w:hAnsiTheme="minorHAnsi" w:cstheme="majorBidi"/>
      <w:color w:val="595959" w:themeColor="text1" w:themeTint="A6"/>
    </w:rPr>
  </w:style>
  <w:style w:type="paragraph" w:styleId="9">
    <w:name w:val="heading 9"/>
    <w:basedOn w:val="a"/>
    <w:next w:val="a"/>
    <w:link w:val="90"/>
    <w:uiPriority w:val="9"/>
    <w:semiHidden/>
    <w:unhideWhenUsed/>
    <w:qFormat/>
    <w:rsid w:val="00DC4B97"/>
    <w:pPr>
      <w:keepNext/>
      <w:keepLines/>
      <w:outlineLvl w:val="8"/>
    </w:pPr>
    <w:rPr>
      <w:rFonts w:asciiTheme="minorHAnsi" w:eastAsiaTheme="majorEastAsia" w:hAnsiTheme="minorHAnsi"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C4B97"/>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DC4B97"/>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DC4B97"/>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DC4B97"/>
    <w:rPr>
      <w:rFonts w:asciiTheme="minorHAnsi" w:eastAsiaTheme="minorEastAsia" w:hAnsiTheme="minorHAnsi" w:cstheme="majorBidi"/>
      <w:color w:val="2F5496" w:themeColor="accent1" w:themeShade="BF"/>
      <w:sz w:val="28"/>
      <w:szCs w:val="28"/>
    </w:rPr>
  </w:style>
  <w:style w:type="character" w:customStyle="1" w:styleId="50">
    <w:name w:val="标题 5 字符"/>
    <w:basedOn w:val="a0"/>
    <w:link w:val="5"/>
    <w:uiPriority w:val="9"/>
    <w:semiHidden/>
    <w:rsid w:val="00DC4B97"/>
    <w:rPr>
      <w:rFonts w:asciiTheme="minorHAnsi" w:eastAsiaTheme="minorEastAsia" w:hAnsiTheme="minorHAnsi" w:cstheme="majorBidi"/>
      <w:color w:val="2F5496" w:themeColor="accent1" w:themeShade="BF"/>
    </w:rPr>
  </w:style>
  <w:style w:type="character" w:customStyle="1" w:styleId="60">
    <w:name w:val="标题 6 字符"/>
    <w:basedOn w:val="a0"/>
    <w:link w:val="6"/>
    <w:uiPriority w:val="9"/>
    <w:semiHidden/>
    <w:rsid w:val="00DC4B97"/>
    <w:rPr>
      <w:rFonts w:asciiTheme="minorHAnsi" w:eastAsiaTheme="minorEastAsia" w:hAnsiTheme="minorHAnsi" w:cstheme="majorBidi"/>
      <w:b/>
      <w:bCs/>
      <w:color w:val="2F5496" w:themeColor="accent1" w:themeShade="BF"/>
    </w:rPr>
  </w:style>
  <w:style w:type="character" w:customStyle="1" w:styleId="70">
    <w:name w:val="标题 7 字符"/>
    <w:basedOn w:val="a0"/>
    <w:link w:val="7"/>
    <w:uiPriority w:val="9"/>
    <w:semiHidden/>
    <w:rsid w:val="00DC4B97"/>
    <w:rPr>
      <w:rFonts w:asciiTheme="minorHAnsi" w:eastAsiaTheme="minorEastAsia" w:hAnsiTheme="minorHAnsi" w:cstheme="majorBidi"/>
      <w:b/>
      <w:bCs/>
      <w:color w:val="595959" w:themeColor="text1" w:themeTint="A6"/>
    </w:rPr>
  </w:style>
  <w:style w:type="character" w:customStyle="1" w:styleId="80">
    <w:name w:val="标题 8 字符"/>
    <w:basedOn w:val="a0"/>
    <w:link w:val="8"/>
    <w:uiPriority w:val="9"/>
    <w:semiHidden/>
    <w:rsid w:val="00DC4B97"/>
    <w:rPr>
      <w:rFonts w:asciiTheme="minorHAnsi" w:eastAsiaTheme="minorEastAsia" w:hAnsiTheme="minorHAnsi" w:cstheme="majorBidi"/>
      <w:color w:val="595959" w:themeColor="text1" w:themeTint="A6"/>
    </w:rPr>
  </w:style>
  <w:style w:type="character" w:customStyle="1" w:styleId="90">
    <w:name w:val="标题 9 字符"/>
    <w:basedOn w:val="a0"/>
    <w:link w:val="9"/>
    <w:uiPriority w:val="9"/>
    <w:semiHidden/>
    <w:rsid w:val="00DC4B97"/>
    <w:rPr>
      <w:rFonts w:asciiTheme="minorHAnsi" w:eastAsiaTheme="majorEastAsia" w:hAnsiTheme="minorHAnsi" w:cstheme="majorBidi"/>
      <w:color w:val="595959" w:themeColor="text1" w:themeTint="A6"/>
    </w:rPr>
  </w:style>
  <w:style w:type="paragraph" w:styleId="a3">
    <w:name w:val="Title"/>
    <w:basedOn w:val="a"/>
    <w:next w:val="a"/>
    <w:link w:val="a4"/>
    <w:uiPriority w:val="10"/>
    <w:qFormat/>
    <w:rsid w:val="00DC4B97"/>
    <w:pPr>
      <w:spacing w:after="80" w:line="240" w:lineRule="auto"/>
      <w:contextualSpacing/>
      <w:jc w:val="center"/>
    </w:pPr>
    <w:rPr>
      <w:rFonts w:asciiTheme="majorHAnsi" w:eastAsiaTheme="majorEastAsia" w:hAnsiTheme="majorHAnsi" w:cstheme="majorBidi"/>
      <w:color w:val="auto"/>
      <w:spacing w:val="-10"/>
      <w:kern w:val="28"/>
      <w:sz w:val="56"/>
      <w:szCs w:val="56"/>
    </w:rPr>
  </w:style>
  <w:style w:type="character" w:customStyle="1" w:styleId="a4">
    <w:name w:val="标题 字符"/>
    <w:basedOn w:val="a0"/>
    <w:link w:val="a3"/>
    <w:uiPriority w:val="10"/>
    <w:rsid w:val="00DC4B97"/>
    <w:rPr>
      <w:rFonts w:asciiTheme="majorHAnsi" w:eastAsiaTheme="majorEastAsia" w:hAnsiTheme="majorHAnsi" w:cstheme="majorBidi"/>
      <w:color w:val="auto"/>
      <w:spacing w:val="-10"/>
      <w:kern w:val="28"/>
      <w:sz w:val="56"/>
      <w:szCs w:val="56"/>
    </w:rPr>
  </w:style>
  <w:style w:type="paragraph" w:styleId="a5">
    <w:name w:val="Subtitle"/>
    <w:basedOn w:val="a"/>
    <w:next w:val="a"/>
    <w:link w:val="a6"/>
    <w:uiPriority w:val="11"/>
    <w:qFormat/>
    <w:rsid w:val="00DC4B9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DC4B9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DC4B97"/>
    <w:pPr>
      <w:spacing w:before="160" w:after="160"/>
      <w:jc w:val="center"/>
    </w:pPr>
    <w:rPr>
      <w:i/>
      <w:iCs/>
      <w:color w:val="404040" w:themeColor="text1" w:themeTint="BF"/>
    </w:rPr>
  </w:style>
  <w:style w:type="character" w:customStyle="1" w:styleId="a8">
    <w:name w:val="引用 字符"/>
    <w:basedOn w:val="a0"/>
    <w:link w:val="a7"/>
    <w:uiPriority w:val="29"/>
    <w:rsid w:val="00DC4B97"/>
    <w:rPr>
      <w:i/>
      <w:iCs/>
      <w:color w:val="404040" w:themeColor="text1" w:themeTint="BF"/>
    </w:rPr>
  </w:style>
  <w:style w:type="paragraph" w:styleId="a9">
    <w:name w:val="List Paragraph"/>
    <w:basedOn w:val="a"/>
    <w:uiPriority w:val="34"/>
    <w:qFormat/>
    <w:rsid w:val="00DC4B97"/>
    <w:pPr>
      <w:ind w:left="720"/>
      <w:contextualSpacing/>
    </w:pPr>
  </w:style>
  <w:style w:type="character" w:styleId="aa">
    <w:name w:val="Intense Emphasis"/>
    <w:basedOn w:val="a0"/>
    <w:uiPriority w:val="21"/>
    <w:qFormat/>
    <w:rsid w:val="00DC4B97"/>
    <w:rPr>
      <w:i/>
      <w:iCs/>
      <w:color w:val="2F5496" w:themeColor="accent1" w:themeShade="BF"/>
    </w:rPr>
  </w:style>
  <w:style w:type="paragraph" w:styleId="ab">
    <w:name w:val="Intense Quote"/>
    <w:basedOn w:val="a"/>
    <w:next w:val="a"/>
    <w:link w:val="ac"/>
    <w:uiPriority w:val="30"/>
    <w:qFormat/>
    <w:rsid w:val="00DC4B9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DC4B97"/>
    <w:rPr>
      <w:i/>
      <w:iCs/>
      <w:color w:val="2F5496" w:themeColor="accent1" w:themeShade="BF"/>
    </w:rPr>
  </w:style>
  <w:style w:type="character" w:styleId="ad">
    <w:name w:val="Intense Reference"/>
    <w:basedOn w:val="a0"/>
    <w:uiPriority w:val="32"/>
    <w:qFormat/>
    <w:rsid w:val="00DC4B97"/>
    <w:rPr>
      <w:b/>
      <w:bCs/>
      <w:smallCaps/>
      <w:color w:val="2F5496" w:themeColor="accent1" w:themeShade="BF"/>
      <w:spacing w:val="5"/>
    </w:rPr>
  </w:style>
  <w:style w:type="paragraph" w:styleId="ae">
    <w:name w:val="header"/>
    <w:basedOn w:val="a"/>
    <w:link w:val="af"/>
    <w:uiPriority w:val="99"/>
    <w:unhideWhenUsed/>
    <w:rsid w:val="009A2F87"/>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9A2F87"/>
    <w:rPr>
      <w:sz w:val="18"/>
      <w:szCs w:val="18"/>
    </w:rPr>
  </w:style>
  <w:style w:type="paragraph" w:styleId="af0">
    <w:name w:val="footer"/>
    <w:basedOn w:val="a"/>
    <w:link w:val="af1"/>
    <w:uiPriority w:val="99"/>
    <w:unhideWhenUsed/>
    <w:rsid w:val="009A2F87"/>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9A2F87"/>
    <w:rPr>
      <w:sz w:val="18"/>
      <w:szCs w:val="18"/>
    </w:rPr>
  </w:style>
  <w:style w:type="paragraph" w:customStyle="1" w:styleId="EndNoteBibliographyTitle">
    <w:name w:val="EndNote Bibliography Title"/>
    <w:basedOn w:val="a"/>
    <w:link w:val="EndNoteBibliographyTitle0"/>
    <w:rsid w:val="002770E6"/>
    <w:pPr>
      <w:jc w:val="center"/>
    </w:pPr>
    <w:rPr>
      <w:rFonts w:cs="Times New Roman"/>
      <w:noProof/>
    </w:rPr>
  </w:style>
  <w:style w:type="character" w:customStyle="1" w:styleId="EndNoteBibliographyTitle0">
    <w:name w:val="EndNote Bibliography Title 字符"/>
    <w:basedOn w:val="a0"/>
    <w:link w:val="EndNoteBibliographyTitle"/>
    <w:rsid w:val="002770E6"/>
    <w:rPr>
      <w:rFonts w:cs="Times New Roman"/>
      <w:noProof/>
    </w:rPr>
  </w:style>
  <w:style w:type="paragraph" w:customStyle="1" w:styleId="EndNoteBibliography">
    <w:name w:val="EndNote Bibliography"/>
    <w:basedOn w:val="a"/>
    <w:link w:val="EndNoteBibliography0"/>
    <w:rsid w:val="002770E6"/>
    <w:pPr>
      <w:spacing w:line="240" w:lineRule="auto"/>
    </w:pPr>
    <w:rPr>
      <w:rFonts w:cs="Times New Roman"/>
      <w:noProof/>
    </w:rPr>
  </w:style>
  <w:style w:type="character" w:customStyle="1" w:styleId="EndNoteBibliography0">
    <w:name w:val="EndNote Bibliography 字符"/>
    <w:basedOn w:val="a0"/>
    <w:link w:val="EndNoteBibliography"/>
    <w:rsid w:val="002770E6"/>
    <w:rPr>
      <w:rFonts w:cs="Times New Roman"/>
      <w:noProof/>
    </w:rPr>
  </w:style>
  <w:style w:type="character" w:styleId="af2">
    <w:name w:val="Hyperlink"/>
    <w:basedOn w:val="a0"/>
    <w:uiPriority w:val="99"/>
    <w:unhideWhenUsed/>
    <w:rsid w:val="0021274B"/>
    <w:rPr>
      <w:color w:val="0563C1" w:themeColor="hyperlink"/>
      <w:u w:val="single"/>
    </w:rPr>
  </w:style>
  <w:style w:type="table" w:styleId="af3">
    <w:name w:val="Table Grid"/>
    <w:basedOn w:val="a1"/>
    <w:uiPriority w:val="39"/>
    <w:rsid w:val="001E75B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7269848">
      <w:bodyDiv w:val="1"/>
      <w:marLeft w:val="0"/>
      <w:marRight w:val="0"/>
      <w:marTop w:val="0"/>
      <w:marBottom w:val="0"/>
      <w:divBdr>
        <w:top w:val="none" w:sz="0" w:space="0" w:color="auto"/>
        <w:left w:val="none" w:sz="0" w:space="0" w:color="auto"/>
        <w:bottom w:val="none" w:sz="0" w:space="0" w:color="auto"/>
        <w:right w:val="none" w:sz="0" w:space="0" w:color="auto"/>
      </w:divBdr>
    </w:div>
    <w:div w:id="1489206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1015</Words>
  <Characters>5791</Characters>
  <Application>Microsoft Office Word</Application>
  <DocSecurity>0</DocSecurity>
  <Lines>48</Lines>
  <Paragraphs>13</Paragraphs>
  <ScaleCrop>false</ScaleCrop>
  <Company/>
  <LinksUpToDate>false</LinksUpToDate>
  <CharactersWithSpaces>6793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淑芸 黄</dc:creator>
  <cp:keywords/>
  <dc:description/>
  <cp:lastModifiedBy>Minnie</cp:lastModifiedBy>
  <cp:revision>3</cp:revision>
  <dcterms:created xsi:type="dcterms:W3CDTF">2026-07-30T02:09:00Z</dcterms:created>
  <dcterms:modified xsi:type="dcterms:W3CDTF">2026-07-30T02:09:00Z</dcterms:modified>
</cp:coreProperties>
</file>